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8C" w:rsidRPr="00ED7A40" w:rsidRDefault="00E80748" w:rsidP="00ED7A40">
      <w:pPr>
        <w:pStyle w:val="NoSpacing"/>
        <w:jc w:val="center"/>
        <w:rPr>
          <w:b/>
          <w:sz w:val="32"/>
          <w:szCs w:val="32"/>
        </w:rPr>
      </w:pPr>
      <w:r>
        <w:rPr>
          <w:b/>
          <w:sz w:val="32"/>
          <w:szCs w:val="32"/>
        </w:rPr>
        <w:t>APUSH Lindsay High School</w:t>
      </w:r>
      <w:bookmarkStart w:id="0" w:name="_GoBack"/>
      <w:bookmarkEnd w:id="0"/>
    </w:p>
    <w:p w:rsidR="0022278C" w:rsidRPr="00ED7A40" w:rsidRDefault="0022278C" w:rsidP="00ED7A40">
      <w:pPr>
        <w:pStyle w:val="NoSpacing"/>
        <w:jc w:val="center"/>
        <w:rPr>
          <w:b/>
          <w:sz w:val="32"/>
          <w:szCs w:val="32"/>
          <w:u w:val="single"/>
        </w:rPr>
      </w:pPr>
      <w:proofErr w:type="spellStart"/>
      <w:r w:rsidRPr="00ED7A40">
        <w:rPr>
          <w:b/>
          <w:sz w:val="32"/>
          <w:szCs w:val="32"/>
          <w:u w:val="single"/>
        </w:rPr>
        <w:t>SOAPSTone</w:t>
      </w:r>
      <w:proofErr w:type="spellEnd"/>
      <w:r w:rsidR="00ED7A40" w:rsidRPr="00ED7A40">
        <w:rPr>
          <w:b/>
          <w:sz w:val="32"/>
          <w:szCs w:val="32"/>
          <w:u w:val="single"/>
        </w:rPr>
        <w:t xml:space="preserve"> Analysis Form </w:t>
      </w:r>
    </w:p>
    <w:tbl>
      <w:tblPr>
        <w:tblStyle w:val="TableGrid"/>
        <w:tblW w:w="11340" w:type="dxa"/>
        <w:tblInd w:w="-252" w:type="dxa"/>
        <w:tblLook w:val="04A0" w:firstRow="1" w:lastRow="0" w:firstColumn="1" w:lastColumn="0" w:noHBand="0" w:noVBand="1"/>
      </w:tblPr>
      <w:tblGrid>
        <w:gridCol w:w="1072"/>
        <w:gridCol w:w="10268"/>
      </w:tblGrid>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peaker</w:t>
            </w:r>
          </w:p>
        </w:tc>
        <w:tc>
          <w:tcPr>
            <w:tcW w:w="10287" w:type="dxa"/>
          </w:tcPr>
          <w:p w:rsidR="0022278C" w:rsidRPr="002F575B" w:rsidRDefault="0022278C" w:rsidP="0022278C">
            <w:pPr>
              <w:pStyle w:val="NoSpacing"/>
              <w:rPr>
                <w:b/>
              </w:rPr>
            </w:pPr>
            <w:r w:rsidRPr="002F575B">
              <w:rPr>
                <w:b/>
              </w:rPr>
              <w:t>Who is the Speaker?</w:t>
            </w:r>
          </w:p>
          <w:p w:rsidR="0022278C" w:rsidRDefault="0022278C" w:rsidP="0022278C">
            <w:pPr>
              <w:pStyle w:val="NoSpacing"/>
            </w:pPr>
            <w:r>
              <w:t xml:space="preserve">The voice that tells the story. </w:t>
            </w:r>
          </w:p>
          <w:p w:rsidR="0022278C" w:rsidRDefault="0022278C" w:rsidP="0022278C">
            <w:pPr>
              <w:pStyle w:val="NoSpacing"/>
            </w:pPr>
            <w:r w:rsidRPr="002F575B">
              <w:rPr>
                <w:i/>
              </w:rPr>
              <w:t>Non-Fiction</w:t>
            </w:r>
            <w:r>
              <w:t xml:space="preserve"> – the author/speaker and any background information that might bear upon his/her text.</w:t>
            </w:r>
          </w:p>
          <w:p w:rsidR="0022278C" w:rsidRDefault="0022278C" w:rsidP="0022278C">
            <w:pPr>
              <w:pStyle w:val="NoSpacing"/>
            </w:pPr>
            <w:r w:rsidRPr="002F575B">
              <w:rPr>
                <w:i/>
              </w:rPr>
              <w:t>Fiction</w:t>
            </w:r>
            <w:r>
              <w:t xml:space="preserve"> – the narrator, </w:t>
            </w:r>
            <w:r w:rsidRPr="002F575B">
              <w:rPr>
                <w:u w:val="single"/>
              </w:rPr>
              <w:t>not the author</w:t>
            </w:r>
            <w:r>
              <w:t>, and any implied traits or characteristics that might influence the text.</w:t>
            </w:r>
          </w:p>
          <w:p w:rsidR="0022278C" w:rsidRDefault="0022278C" w:rsidP="0022278C">
            <w:pPr>
              <w:pStyle w:val="NoSpacing"/>
            </w:pPr>
          </w:p>
          <w:p w:rsidR="0022278C" w:rsidRPr="00ED7A40" w:rsidRDefault="0022278C" w:rsidP="0022278C">
            <w:pPr>
              <w:pStyle w:val="NoSpacing"/>
              <w:rPr>
                <w:i/>
              </w:rPr>
            </w:pPr>
            <w:r w:rsidRPr="00ED7A40">
              <w:rPr>
                <w:i/>
              </w:rPr>
              <w:t>Students should go beyond merely identifying the Speaker by name (occasionally, none will be given). They should be able to apply outside knowledge to Speaker, or infer traits from the text itself.</w:t>
            </w:r>
          </w:p>
        </w:tc>
      </w:tr>
      <w:tr w:rsidR="0022278C" w:rsidTr="002568B4">
        <w:tc>
          <w:tcPr>
            <w:tcW w:w="1053" w:type="dxa"/>
          </w:tcPr>
          <w:p w:rsidR="0022278C" w:rsidRPr="002F575B" w:rsidRDefault="0022278C" w:rsidP="0022278C">
            <w:pPr>
              <w:pStyle w:val="NoSpacing"/>
              <w:rPr>
                <w:b/>
              </w:rPr>
            </w:pPr>
            <w:r w:rsidRPr="002F575B">
              <w:rPr>
                <w:b/>
                <w:u w:val="single"/>
              </w:rPr>
              <w:t>O</w:t>
            </w:r>
            <w:r w:rsidRPr="002F575B">
              <w:rPr>
                <w:b/>
              </w:rPr>
              <w:t>ccasion</w:t>
            </w:r>
          </w:p>
        </w:tc>
        <w:tc>
          <w:tcPr>
            <w:tcW w:w="10287" w:type="dxa"/>
          </w:tcPr>
          <w:p w:rsidR="0022278C" w:rsidRPr="002F575B" w:rsidRDefault="0022278C" w:rsidP="0022278C">
            <w:pPr>
              <w:pStyle w:val="NoSpacing"/>
              <w:rPr>
                <w:b/>
              </w:rPr>
            </w:pPr>
            <w:r w:rsidRPr="002F575B">
              <w:rPr>
                <w:b/>
              </w:rPr>
              <w:t>What is the Occasion?</w:t>
            </w:r>
          </w:p>
          <w:p w:rsidR="0022278C" w:rsidRDefault="0022278C" w:rsidP="0022278C">
            <w:pPr>
              <w:pStyle w:val="NoSpacing"/>
            </w:pPr>
            <w:r>
              <w:t>The time and the place of the piece; the context that encouraged the writing to happen.</w:t>
            </w:r>
          </w:p>
          <w:p w:rsidR="0022278C" w:rsidRDefault="0022278C" w:rsidP="0022278C">
            <w:pPr>
              <w:pStyle w:val="NoSpacing"/>
            </w:pPr>
            <w:r w:rsidRPr="002F575B">
              <w:rPr>
                <w:i/>
              </w:rPr>
              <w:t>Non-Fiction</w:t>
            </w:r>
            <w:r>
              <w:t xml:space="preserve"> – the event that triggered the response</w:t>
            </w:r>
          </w:p>
          <w:p w:rsidR="0022278C" w:rsidRDefault="0022278C" w:rsidP="0022278C">
            <w:pPr>
              <w:pStyle w:val="NoSpacing"/>
            </w:pPr>
            <w:r w:rsidRPr="002F575B">
              <w:rPr>
                <w:i/>
              </w:rPr>
              <w:t xml:space="preserve">Fiction </w:t>
            </w:r>
            <w:r>
              <w:t>– the primary, specific event being discussed (summary)</w:t>
            </w:r>
          </w:p>
          <w:p w:rsidR="0022278C" w:rsidRDefault="0022278C" w:rsidP="0022278C">
            <w:pPr>
              <w:pStyle w:val="NoSpacing"/>
            </w:pPr>
          </w:p>
          <w:p w:rsidR="0022278C" w:rsidRPr="00ED7A40" w:rsidRDefault="0022278C" w:rsidP="00DE7995">
            <w:pPr>
              <w:pStyle w:val="NoSpacing"/>
              <w:rPr>
                <w:i/>
              </w:rPr>
            </w:pPr>
            <w:r w:rsidRPr="00ED7A40">
              <w:rPr>
                <w:i/>
              </w:rPr>
              <w:t>Students should contextualize historical events or the “environment of ideas” that led to a text being produced. Students should also be able to summarize the events in a few words or phrases.</w:t>
            </w:r>
          </w:p>
        </w:tc>
      </w:tr>
      <w:tr w:rsidR="0022278C" w:rsidTr="002568B4">
        <w:tc>
          <w:tcPr>
            <w:tcW w:w="1053" w:type="dxa"/>
          </w:tcPr>
          <w:p w:rsidR="0022278C" w:rsidRPr="002F575B" w:rsidRDefault="0022278C" w:rsidP="0022278C">
            <w:pPr>
              <w:pStyle w:val="NoSpacing"/>
              <w:rPr>
                <w:b/>
              </w:rPr>
            </w:pPr>
            <w:r w:rsidRPr="002F575B">
              <w:rPr>
                <w:b/>
                <w:u w:val="single"/>
              </w:rPr>
              <w:t>A</w:t>
            </w:r>
            <w:r w:rsidRPr="002F575B">
              <w:rPr>
                <w:b/>
              </w:rPr>
              <w:t>udience</w:t>
            </w:r>
          </w:p>
        </w:tc>
        <w:tc>
          <w:tcPr>
            <w:tcW w:w="10287" w:type="dxa"/>
          </w:tcPr>
          <w:p w:rsidR="0022278C" w:rsidRPr="002F575B" w:rsidRDefault="0022278C" w:rsidP="0022278C">
            <w:pPr>
              <w:pStyle w:val="NoSpacing"/>
              <w:rPr>
                <w:b/>
              </w:rPr>
            </w:pPr>
            <w:r w:rsidRPr="002F575B">
              <w:rPr>
                <w:b/>
              </w:rPr>
              <w:t>Who is the Audience?</w:t>
            </w:r>
          </w:p>
          <w:p w:rsidR="0022278C" w:rsidRDefault="0022278C" w:rsidP="0022278C">
            <w:pPr>
              <w:pStyle w:val="NoSpacing"/>
            </w:pPr>
            <w:r>
              <w:t xml:space="preserve">The group of readers/listeners to </w:t>
            </w:r>
            <w:proofErr w:type="gramStart"/>
            <w:r>
              <w:t>whom</w:t>
            </w:r>
            <w:proofErr w:type="gramEnd"/>
            <w:r>
              <w:t xml:space="preserve"> a piece is directed.</w:t>
            </w:r>
          </w:p>
          <w:p w:rsidR="00DE7995" w:rsidRDefault="0022278C" w:rsidP="0022278C">
            <w:pPr>
              <w:pStyle w:val="NoSpacing"/>
            </w:pPr>
            <w:r w:rsidRPr="002F575B">
              <w:rPr>
                <w:i/>
              </w:rPr>
              <w:t>Non-Fiction</w:t>
            </w:r>
            <w:r w:rsidR="00DE7995" w:rsidRPr="002F575B">
              <w:rPr>
                <w:i/>
              </w:rPr>
              <w:t xml:space="preserve"> and Fiction</w:t>
            </w:r>
            <w:r w:rsidRPr="002F575B">
              <w:rPr>
                <w:i/>
              </w:rPr>
              <w:t xml:space="preserve"> </w:t>
            </w:r>
            <w:r>
              <w:t xml:space="preserve">– the specific person, small group, or larger group a piece </w:t>
            </w:r>
            <w:r w:rsidR="00DE7995">
              <w:t xml:space="preserve">is aimed at </w:t>
            </w:r>
          </w:p>
          <w:p w:rsidR="00DE7995" w:rsidRDefault="00DE7995" w:rsidP="0022278C">
            <w:pPr>
              <w:pStyle w:val="NoSpacing"/>
            </w:pPr>
          </w:p>
          <w:p w:rsidR="0022278C" w:rsidRDefault="00DE7995" w:rsidP="0022278C">
            <w:pPr>
              <w:pStyle w:val="NoSpacing"/>
            </w:pPr>
            <w:r w:rsidRPr="00ED7A40">
              <w:rPr>
                <w:i/>
              </w:rPr>
              <w:t>T</w:t>
            </w:r>
            <w:r w:rsidR="0022278C" w:rsidRPr="00ED7A40">
              <w:rPr>
                <w:i/>
              </w:rPr>
              <w:t>here may be multiple audiences</w:t>
            </w:r>
            <w:r w:rsidRPr="00ED7A40">
              <w:rPr>
                <w:i/>
              </w:rPr>
              <w:t xml:space="preserve">, and the audience(s) may need to be discovered through student inference of the level of discourse </w:t>
            </w:r>
            <w:r w:rsidR="002568B4" w:rsidRPr="00ED7A40">
              <w:rPr>
                <w:i/>
              </w:rPr>
              <w:t>in the text, the diction</w:t>
            </w:r>
            <w:r w:rsidRPr="00ED7A40">
              <w:rPr>
                <w:i/>
              </w:rPr>
              <w:t>, the connation of chosen words, and the traits of the Speaker</w:t>
            </w:r>
            <w:r>
              <w:t xml:space="preserve">. </w:t>
            </w:r>
          </w:p>
        </w:tc>
      </w:tr>
      <w:tr w:rsidR="0022278C" w:rsidTr="002568B4">
        <w:tc>
          <w:tcPr>
            <w:tcW w:w="1053" w:type="dxa"/>
          </w:tcPr>
          <w:p w:rsidR="0022278C" w:rsidRPr="002F575B" w:rsidRDefault="0022278C" w:rsidP="0022278C">
            <w:pPr>
              <w:pStyle w:val="NoSpacing"/>
              <w:rPr>
                <w:b/>
              </w:rPr>
            </w:pPr>
            <w:r w:rsidRPr="002F575B">
              <w:rPr>
                <w:b/>
                <w:u w:val="single"/>
              </w:rPr>
              <w:t>P</w:t>
            </w:r>
            <w:r w:rsidRPr="002F575B">
              <w:rPr>
                <w:b/>
              </w:rPr>
              <w:t>urpose</w:t>
            </w:r>
          </w:p>
        </w:tc>
        <w:tc>
          <w:tcPr>
            <w:tcW w:w="10287" w:type="dxa"/>
          </w:tcPr>
          <w:p w:rsidR="0022278C" w:rsidRPr="002F575B" w:rsidRDefault="00DE7995" w:rsidP="0022278C">
            <w:pPr>
              <w:pStyle w:val="NoSpacing"/>
              <w:rPr>
                <w:b/>
              </w:rPr>
            </w:pPr>
            <w:r w:rsidRPr="002F575B">
              <w:rPr>
                <w:b/>
              </w:rPr>
              <w:t>What is the Purpose?</w:t>
            </w:r>
          </w:p>
          <w:p w:rsidR="00DE7995" w:rsidRDefault="00DE7995" w:rsidP="0022278C">
            <w:pPr>
              <w:pStyle w:val="NoSpacing"/>
            </w:pPr>
            <w:r>
              <w:t>The reason behind the text?</w:t>
            </w:r>
          </w:p>
          <w:p w:rsidR="00DE7995" w:rsidRDefault="00DE7995" w:rsidP="0022278C">
            <w:pPr>
              <w:pStyle w:val="NoSpacing"/>
            </w:pPr>
            <w:r w:rsidRPr="002F575B">
              <w:rPr>
                <w:i/>
              </w:rPr>
              <w:t>Non-Fiction</w:t>
            </w:r>
            <w:r>
              <w:t xml:space="preserve"> – what the Speaker wants the Audience to think or do as a result of reading/listening to the piece</w:t>
            </w:r>
          </w:p>
          <w:p w:rsidR="00DE7995" w:rsidRDefault="00DE7995" w:rsidP="0022278C">
            <w:pPr>
              <w:pStyle w:val="NoSpacing"/>
            </w:pPr>
            <w:r w:rsidRPr="002F575B">
              <w:rPr>
                <w:i/>
              </w:rPr>
              <w:t>Fiction</w:t>
            </w:r>
            <w:r>
              <w:t xml:space="preserve"> – the larger “point” being examined in the piece; the “theme” presented</w:t>
            </w:r>
          </w:p>
          <w:p w:rsidR="00DE7995" w:rsidRDefault="00DE7995" w:rsidP="0022278C">
            <w:pPr>
              <w:pStyle w:val="NoSpacing"/>
            </w:pPr>
          </w:p>
          <w:p w:rsidR="00DE7995" w:rsidRDefault="00DE7995" w:rsidP="00DE7995">
            <w:pPr>
              <w:pStyle w:val="NoSpacing"/>
            </w:pPr>
            <w:r w:rsidRPr="00ED7A40">
              <w:rPr>
                <w:i/>
              </w:rPr>
              <w:t>Students should apply social, cultural, historical, etc. perspectives to a text to discover what the author/Speaker is attempting to reveal about those perspectives. They should be able to examine the logic of the argument and/or the themes and interpretations being presented</w:t>
            </w:r>
            <w:r>
              <w:t>.</w:t>
            </w:r>
          </w:p>
        </w:tc>
      </w:tr>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ubject</w:t>
            </w:r>
          </w:p>
        </w:tc>
        <w:tc>
          <w:tcPr>
            <w:tcW w:w="10287" w:type="dxa"/>
          </w:tcPr>
          <w:p w:rsidR="0022278C" w:rsidRPr="002F575B" w:rsidRDefault="00DE7995" w:rsidP="0022278C">
            <w:pPr>
              <w:pStyle w:val="NoSpacing"/>
              <w:rPr>
                <w:b/>
              </w:rPr>
            </w:pPr>
            <w:r w:rsidRPr="002F575B">
              <w:rPr>
                <w:b/>
              </w:rPr>
              <w:t>What is the Subject?</w:t>
            </w:r>
          </w:p>
          <w:p w:rsidR="00DE7995" w:rsidRDefault="00DE7995" w:rsidP="0022278C">
            <w:pPr>
              <w:pStyle w:val="NoSpacing"/>
            </w:pPr>
            <w:r>
              <w:t>The general topic, content, and ideas contained in the text.</w:t>
            </w:r>
          </w:p>
          <w:p w:rsidR="00DE7995" w:rsidRDefault="00DE7995" w:rsidP="0022278C">
            <w:pPr>
              <w:pStyle w:val="NoSpacing"/>
            </w:pPr>
            <w:r w:rsidRPr="002F575B">
              <w:rPr>
                <w:i/>
              </w:rPr>
              <w:t>Non-Fiction and Fiction</w:t>
            </w:r>
            <w:r>
              <w:t xml:space="preserve"> – the larger context of the text (related to Occasion and Purpose)</w:t>
            </w:r>
          </w:p>
          <w:p w:rsidR="00DE7995" w:rsidRDefault="00DE7995" w:rsidP="0022278C">
            <w:pPr>
              <w:pStyle w:val="NoSpacing"/>
            </w:pPr>
          </w:p>
          <w:p w:rsidR="00DE7995" w:rsidRPr="00ED7A40" w:rsidRDefault="00DE7995" w:rsidP="002568B4">
            <w:pPr>
              <w:pStyle w:val="NoSpacing"/>
              <w:rPr>
                <w:i/>
              </w:rPr>
            </w:pPr>
            <w:r w:rsidRPr="00ED7A40">
              <w:rPr>
                <w:i/>
              </w:rPr>
              <w:t>Students should go beyond the immediate occasion to discover the larger context or issue th</w:t>
            </w:r>
            <w:r w:rsidR="002568B4" w:rsidRPr="00ED7A40">
              <w:rPr>
                <w:i/>
              </w:rPr>
              <w:t xml:space="preserve">at </w:t>
            </w:r>
            <w:r w:rsidRPr="00ED7A40">
              <w:rPr>
                <w:i/>
              </w:rPr>
              <w:t>eventually led to the triggering Occasion.</w:t>
            </w:r>
            <w:r w:rsidR="002568B4" w:rsidRPr="00ED7A40">
              <w:rPr>
                <w:i/>
              </w:rPr>
              <w:t xml:space="preserve"> This should be stated in a few words or a phrase.</w:t>
            </w:r>
          </w:p>
        </w:tc>
      </w:tr>
      <w:tr w:rsidR="0022278C" w:rsidTr="002568B4">
        <w:tc>
          <w:tcPr>
            <w:tcW w:w="1053" w:type="dxa"/>
          </w:tcPr>
          <w:p w:rsidR="0022278C" w:rsidRPr="002F575B" w:rsidRDefault="0022278C" w:rsidP="0022278C">
            <w:pPr>
              <w:pStyle w:val="NoSpacing"/>
              <w:rPr>
                <w:b/>
                <w:u w:val="single"/>
              </w:rPr>
            </w:pPr>
            <w:r w:rsidRPr="002F575B">
              <w:rPr>
                <w:b/>
                <w:u w:val="single"/>
              </w:rPr>
              <w:t>Tone</w:t>
            </w:r>
          </w:p>
        </w:tc>
        <w:tc>
          <w:tcPr>
            <w:tcW w:w="10287" w:type="dxa"/>
          </w:tcPr>
          <w:p w:rsidR="0022278C" w:rsidRPr="002F575B" w:rsidRDefault="002568B4" w:rsidP="0022278C">
            <w:pPr>
              <w:pStyle w:val="NoSpacing"/>
              <w:rPr>
                <w:b/>
              </w:rPr>
            </w:pPr>
            <w:r w:rsidRPr="002F575B">
              <w:rPr>
                <w:b/>
              </w:rPr>
              <w:t>What is the Tone?</w:t>
            </w:r>
          </w:p>
          <w:p w:rsidR="002568B4" w:rsidRDefault="002568B4" w:rsidP="0022278C">
            <w:pPr>
              <w:pStyle w:val="NoSpacing"/>
            </w:pPr>
            <w:r>
              <w:t>The attitude of the author/Speaker.</w:t>
            </w:r>
          </w:p>
          <w:p w:rsidR="002568B4" w:rsidRDefault="002568B4" w:rsidP="0022278C">
            <w:pPr>
              <w:pStyle w:val="NoSpacing"/>
            </w:pPr>
            <w:r w:rsidRPr="002F575B">
              <w:rPr>
                <w:i/>
              </w:rPr>
              <w:t>Non-Fiction</w:t>
            </w:r>
            <w:r>
              <w:t xml:space="preserve"> – the meaning imparted by the author that goes beyond the literal; how the author feels about the subject</w:t>
            </w:r>
          </w:p>
          <w:p w:rsidR="002568B4" w:rsidRDefault="002568B4" w:rsidP="0022278C">
            <w:pPr>
              <w:pStyle w:val="NoSpacing"/>
            </w:pPr>
            <w:r w:rsidRPr="002F575B">
              <w:rPr>
                <w:i/>
              </w:rPr>
              <w:t>Fiction</w:t>
            </w:r>
            <w:r>
              <w:t xml:space="preserve"> – same as above, though it might require a distinction between author and narrator</w:t>
            </w:r>
          </w:p>
          <w:p w:rsidR="002568B4" w:rsidRDefault="002568B4" w:rsidP="0022278C">
            <w:pPr>
              <w:pStyle w:val="NoSpacing"/>
            </w:pPr>
          </w:p>
          <w:p w:rsidR="002568B4" w:rsidRPr="00ED7A40" w:rsidRDefault="002568B4" w:rsidP="0022278C">
            <w:pPr>
              <w:pStyle w:val="NoSpacing"/>
              <w:rPr>
                <w:i/>
              </w:rPr>
            </w:pPr>
            <w:r w:rsidRPr="00ED7A40">
              <w:rPr>
                <w:i/>
              </w:rPr>
              <w:t>Students should analyze diction, syntax, connation, and imagery to determine the attitude being presented.</w:t>
            </w:r>
          </w:p>
        </w:tc>
      </w:tr>
    </w:tbl>
    <w:p w:rsidR="0022278C" w:rsidRDefault="0022278C" w:rsidP="0022278C">
      <w:pPr>
        <w:pStyle w:val="NoSpacing"/>
      </w:pPr>
    </w:p>
    <w:p w:rsidR="002F575B" w:rsidRPr="00ED7A40" w:rsidRDefault="002F575B" w:rsidP="0022278C">
      <w:pPr>
        <w:pStyle w:val="NoSpacing"/>
        <w:rPr>
          <w:i/>
          <w:sz w:val="24"/>
          <w:szCs w:val="24"/>
        </w:rPr>
      </w:pPr>
      <w:proofErr w:type="spellStart"/>
      <w:r w:rsidRPr="00ED7A40">
        <w:rPr>
          <w:i/>
          <w:sz w:val="24"/>
          <w:szCs w:val="24"/>
        </w:rPr>
        <w:t>SOAPSTone</w:t>
      </w:r>
      <w:proofErr w:type="spellEnd"/>
      <w:r w:rsidRPr="00ED7A40">
        <w:rPr>
          <w:i/>
          <w:sz w:val="24"/>
          <w:szCs w:val="24"/>
        </w:rPr>
        <w:t xml:space="preserve"> can be used to begin discussions of literature, as reading checks, and/or in journals. </w:t>
      </w:r>
    </w:p>
    <w:p w:rsidR="002F575B" w:rsidRPr="00ED7A40" w:rsidRDefault="002F575B" w:rsidP="0022278C">
      <w:pPr>
        <w:pStyle w:val="NoSpacing"/>
        <w:rPr>
          <w:i/>
          <w:sz w:val="24"/>
          <w:szCs w:val="24"/>
        </w:rPr>
      </w:pPr>
      <w:r w:rsidRPr="00ED7A40">
        <w:rPr>
          <w:i/>
          <w:sz w:val="24"/>
          <w:szCs w:val="24"/>
        </w:rPr>
        <w:t xml:space="preserve">Students can use </w:t>
      </w:r>
      <w:proofErr w:type="spellStart"/>
      <w:r w:rsidRPr="00ED7A40">
        <w:rPr>
          <w:i/>
          <w:sz w:val="24"/>
          <w:szCs w:val="24"/>
        </w:rPr>
        <w:t>SOAPSTones</w:t>
      </w:r>
      <w:proofErr w:type="spellEnd"/>
      <w:r w:rsidRPr="00ED7A40">
        <w:rPr>
          <w:i/>
          <w:sz w:val="24"/>
          <w:szCs w:val="24"/>
        </w:rPr>
        <w:t xml:space="preserve"> to compare and contrast similar texts or types of texts.</w:t>
      </w:r>
    </w:p>
    <w:p w:rsidR="002F575B" w:rsidRPr="00ED7A40" w:rsidRDefault="002F575B" w:rsidP="0022278C">
      <w:pPr>
        <w:pStyle w:val="NoSpacing"/>
        <w:rPr>
          <w:i/>
          <w:sz w:val="24"/>
          <w:szCs w:val="24"/>
        </w:rPr>
      </w:pPr>
      <w:proofErr w:type="spellStart"/>
      <w:r w:rsidRPr="00ED7A40">
        <w:rPr>
          <w:i/>
          <w:sz w:val="24"/>
          <w:szCs w:val="24"/>
        </w:rPr>
        <w:t>SOAPSTones</w:t>
      </w:r>
      <w:proofErr w:type="spellEnd"/>
      <w:r w:rsidRPr="00ED7A40">
        <w:rPr>
          <w:i/>
          <w:sz w:val="24"/>
          <w:szCs w:val="24"/>
        </w:rPr>
        <w:t xml:space="preserve"> are especially well-suited to helping students determine topics for literary criticism.</w:t>
      </w: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Default="002F575B" w:rsidP="002F575B">
      <w:pPr>
        <w:pStyle w:val="NoSpacing"/>
      </w:pPr>
    </w:p>
    <w:p w:rsidR="002F575B" w:rsidRPr="005F2AF5" w:rsidRDefault="002F575B" w:rsidP="002F575B">
      <w:pPr>
        <w:pStyle w:val="NoSpacing"/>
        <w:rPr>
          <w:b/>
          <w:u w:val="single"/>
        </w:rPr>
      </w:pPr>
      <w:r w:rsidRPr="005F2AF5">
        <w:rPr>
          <w:b/>
          <w:u w:val="single"/>
        </w:rPr>
        <w:t>Political Cartoon (Non-Fiction, Non-Text)</w:t>
      </w:r>
    </w:p>
    <w:p w:rsidR="002F575B" w:rsidRDefault="002F575B" w:rsidP="002F575B">
      <w:pPr>
        <w:pStyle w:val="NoSpacing"/>
      </w:pPr>
    </w:p>
    <w:tbl>
      <w:tblPr>
        <w:tblStyle w:val="TableGrid"/>
        <w:tblW w:w="0" w:type="auto"/>
        <w:tblInd w:w="1458" w:type="dxa"/>
        <w:tblLook w:val="04A0" w:firstRow="1" w:lastRow="0" w:firstColumn="1" w:lastColumn="0" w:noHBand="0" w:noVBand="1"/>
      </w:tblPr>
      <w:tblGrid>
        <w:gridCol w:w="4500"/>
      </w:tblGrid>
      <w:tr w:rsidR="002F575B" w:rsidTr="002C3A21">
        <w:tc>
          <w:tcPr>
            <w:tcW w:w="4500" w:type="dxa"/>
          </w:tcPr>
          <w:p w:rsidR="002F575B" w:rsidRDefault="002F575B" w:rsidP="002C3A21">
            <w:r>
              <w:rPr>
                <w:noProof/>
              </w:rPr>
              <w:drawing>
                <wp:inline distT="0" distB="0" distL="0" distR="0">
                  <wp:extent cx="2657475" cy="3226515"/>
                  <wp:effectExtent l="19050" t="0" r="9525" b="0"/>
                  <wp:docPr id="1" name="Picture 0" desc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1.jpg"/>
                          <pic:cNvPicPr/>
                        </pic:nvPicPr>
                        <pic:blipFill>
                          <a:blip r:embed="rId7" cstate="print"/>
                          <a:stretch>
                            <a:fillRect/>
                          </a:stretch>
                        </pic:blipFill>
                        <pic:spPr>
                          <a:xfrm>
                            <a:off x="0" y="0"/>
                            <a:ext cx="2658683" cy="3227982"/>
                          </a:xfrm>
                          <a:prstGeom prst="rect">
                            <a:avLst/>
                          </a:prstGeom>
                        </pic:spPr>
                      </pic:pic>
                    </a:graphicData>
                  </a:graphic>
                </wp:inline>
              </w:drawing>
            </w:r>
          </w:p>
        </w:tc>
      </w:tr>
    </w:tbl>
    <w:p w:rsidR="002F575B" w:rsidRDefault="002F575B" w:rsidP="002F575B"/>
    <w:p w:rsidR="002F575B" w:rsidRDefault="002F575B" w:rsidP="002F575B">
      <w:pPr>
        <w:pStyle w:val="NoSpacing"/>
      </w:pPr>
      <w:r w:rsidRPr="005F2AF5">
        <w:rPr>
          <w:b/>
        </w:rPr>
        <w:t xml:space="preserve">Speaker: </w:t>
      </w:r>
      <w:r>
        <w:tab/>
        <w:t>Anti-isolationist political cartoonist [believe it or not, the artist is Dr. Seuss]</w:t>
      </w:r>
    </w:p>
    <w:p w:rsidR="002F575B" w:rsidRDefault="002F575B" w:rsidP="002F575B">
      <w:pPr>
        <w:pStyle w:val="NoSpacing"/>
      </w:pPr>
      <w:r w:rsidRPr="005F2AF5">
        <w:rPr>
          <w:b/>
        </w:rPr>
        <w:t>Occasion:</w:t>
      </w:r>
      <w:r>
        <w:t xml:space="preserve"> </w:t>
      </w:r>
      <w:r>
        <w:tab/>
        <w:t>the attacks on England by Nazi Germany</w:t>
      </w:r>
    </w:p>
    <w:p w:rsidR="002F575B" w:rsidRDefault="002F575B" w:rsidP="002F575B">
      <w:pPr>
        <w:pStyle w:val="NoSpacing"/>
      </w:pPr>
      <w:r w:rsidRPr="005F2AF5">
        <w:rPr>
          <w:b/>
        </w:rPr>
        <w:t>Audience:</w:t>
      </w:r>
      <w:r>
        <w:t xml:space="preserve"> </w:t>
      </w:r>
      <w:r>
        <w:tab/>
        <w:t>1) other anti-isolationists</w:t>
      </w:r>
    </w:p>
    <w:p w:rsidR="002F575B" w:rsidRDefault="002F575B" w:rsidP="002F575B">
      <w:pPr>
        <w:pStyle w:val="NoSpacing"/>
      </w:pPr>
      <w:r>
        <w:tab/>
        <w:t xml:space="preserve">     </w:t>
      </w:r>
      <w:r>
        <w:tab/>
        <w:t xml:space="preserve">2) </w:t>
      </w:r>
      <w:proofErr w:type="gramStart"/>
      <w:r>
        <w:t>isolationists</w:t>
      </w:r>
      <w:proofErr w:type="gramEnd"/>
    </w:p>
    <w:p w:rsidR="002F575B" w:rsidRDefault="002F575B" w:rsidP="002F575B">
      <w:pPr>
        <w:pStyle w:val="NoSpacing"/>
      </w:pPr>
      <w:r w:rsidRPr="005F2AF5">
        <w:rPr>
          <w:b/>
        </w:rPr>
        <w:t>Purpose:</w:t>
      </w:r>
      <w:r>
        <w:t xml:space="preserve"> </w:t>
      </w:r>
      <w:r>
        <w:tab/>
        <w:t>1) support those who feel America should enter war</w:t>
      </w:r>
    </w:p>
    <w:p w:rsidR="002F575B" w:rsidRDefault="002F575B" w:rsidP="002F575B">
      <w:pPr>
        <w:pStyle w:val="NoSpacing"/>
      </w:pPr>
      <w:r>
        <w:tab/>
        <w:t xml:space="preserve">   </w:t>
      </w:r>
      <w:r>
        <w:tab/>
      </w:r>
      <w:proofErr w:type="gramStart"/>
      <w:r>
        <w:t>2)shame</w:t>
      </w:r>
      <w:proofErr w:type="gramEnd"/>
      <w:r>
        <w:t xml:space="preserve"> isolationists for their foolish views</w:t>
      </w:r>
    </w:p>
    <w:p w:rsidR="002F575B" w:rsidRDefault="002F575B" w:rsidP="002F575B">
      <w:pPr>
        <w:pStyle w:val="NoSpacing"/>
      </w:pPr>
      <w:r w:rsidRPr="005F2AF5">
        <w:rPr>
          <w:b/>
        </w:rPr>
        <w:t>Subject:</w:t>
      </w:r>
      <w:r w:rsidRPr="005F2AF5">
        <w:rPr>
          <w:b/>
        </w:rPr>
        <w:tab/>
      </w:r>
      <w:r>
        <w:t>World War II</w:t>
      </w:r>
    </w:p>
    <w:p w:rsidR="002F575B" w:rsidRDefault="002F575B" w:rsidP="002F575B">
      <w:pPr>
        <w:pStyle w:val="NoSpacing"/>
      </w:pPr>
      <w:r w:rsidRPr="005F2AF5">
        <w:rPr>
          <w:b/>
        </w:rPr>
        <w:t>Tone:</w:t>
      </w:r>
      <w:r>
        <w:tab/>
      </w:r>
      <w:r>
        <w:tab/>
        <w:t>mocking, humorous, satirical</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Pr="005F2AF5" w:rsidRDefault="002F575B" w:rsidP="002F575B">
      <w:pPr>
        <w:pStyle w:val="NoSpacing"/>
        <w:rPr>
          <w:b/>
          <w:u w:val="single"/>
        </w:rPr>
      </w:pPr>
      <w:r w:rsidRPr="005F2AF5">
        <w:rPr>
          <w:b/>
          <w:u w:val="single"/>
        </w:rPr>
        <w:t>Gettysburg Address (Non-Fiction)</w:t>
      </w:r>
    </w:p>
    <w:tbl>
      <w:tblPr>
        <w:tblStyle w:val="TableGrid"/>
        <w:tblW w:w="0" w:type="auto"/>
        <w:tblLook w:val="04A0" w:firstRow="1" w:lastRow="0" w:firstColumn="1" w:lastColumn="0" w:noHBand="0" w:noVBand="1"/>
      </w:tblPr>
      <w:tblGrid>
        <w:gridCol w:w="5238"/>
        <w:gridCol w:w="5490"/>
      </w:tblGrid>
      <w:tr w:rsidR="002F575B" w:rsidTr="002F575B">
        <w:tc>
          <w:tcPr>
            <w:tcW w:w="5238" w:type="dxa"/>
          </w:tcPr>
          <w:p w:rsidR="002F575B" w:rsidRDefault="002F575B" w:rsidP="002C3A21">
            <w:pPr>
              <w:pStyle w:val="NoSpacing"/>
            </w:pPr>
            <w:r>
              <w:t>Four score and seven years ago our fathers brought forth on this continent, a new nation, conceived in Liberty, and dedicated to the proposition that all men are created equal.</w:t>
            </w:r>
          </w:p>
          <w:p w:rsidR="002F575B" w:rsidRDefault="002F575B" w:rsidP="002C3A21">
            <w:pPr>
              <w:pStyle w:val="NoSpacing"/>
            </w:pPr>
          </w:p>
          <w:p w:rsidR="002F575B" w:rsidRDefault="002F575B" w:rsidP="002C3A21">
            <w:pPr>
              <w:pStyle w:val="NoSpacing"/>
            </w:pPr>
            <w:r>
              <w:t xml:space="preserve">Now we are engaged in a great civil war, testing whether that </w:t>
            </w:r>
            <w:proofErr w:type="gramStart"/>
            <w:r>
              <w:t>nation,</w:t>
            </w:r>
            <w:proofErr w:type="gramEnd"/>
            <w: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2F575B" w:rsidRDefault="002F575B" w:rsidP="002C3A21">
            <w:pPr>
              <w:pStyle w:val="NoSpacing"/>
            </w:pPr>
          </w:p>
          <w:p w:rsidR="002F575B" w:rsidRDefault="002F575B" w:rsidP="002C3A21">
            <w:pPr>
              <w:pStyle w:val="NoSpacing"/>
            </w:pPr>
            <w:r>
              <w:t xml:space="preserve">But, in a larger sense, we </w:t>
            </w:r>
            <w:proofErr w:type="spellStart"/>
            <w:r>
              <w:t>can not</w:t>
            </w:r>
            <w:proofErr w:type="spellEnd"/>
            <w:r>
              <w:t xml:space="preserve"> dedicate -- we </w:t>
            </w:r>
            <w:proofErr w:type="spellStart"/>
            <w:r>
              <w:t>can not</w:t>
            </w:r>
            <w:proofErr w:type="spellEnd"/>
            <w:r>
              <w:t xml:space="preserve"> consecrate -- we </w:t>
            </w:r>
            <w:proofErr w:type="spellStart"/>
            <w:r>
              <w:t>can not</w:t>
            </w:r>
            <w:proofErr w:type="spellEnd"/>
            <w: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tc>
        <w:tc>
          <w:tcPr>
            <w:tcW w:w="5490" w:type="dxa"/>
          </w:tcPr>
          <w:p w:rsidR="002F575B" w:rsidRDefault="002F575B" w:rsidP="002C3A21">
            <w:pPr>
              <w:pStyle w:val="NoSpacing"/>
            </w:pPr>
            <w:r w:rsidRPr="006A5222">
              <w:rPr>
                <w:b/>
              </w:rPr>
              <w:t>Speaker:</w:t>
            </w:r>
            <w:r>
              <w:t xml:space="preserve">   President Abraham Lincoln – President </w:t>
            </w:r>
          </w:p>
          <w:p w:rsidR="002F575B" w:rsidRDefault="002F575B" w:rsidP="002C3A21">
            <w:pPr>
              <w:pStyle w:val="NoSpacing"/>
            </w:pPr>
            <w:r>
              <w:t xml:space="preserve">                   during Civil War</w:t>
            </w:r>
          </w:p>
          <w:p w:rsidR="002F575B" w:rsidRDefault="002F575B" w:rsidP="002C3A21">
            <w:pPr>
              <w:pStyle w:val="NoSpacing"/>
            </w:pPr>
            <w:r w:rsidRPr="006A5222">
              <w:rPr>
                <w:b/>
              </w:rPr>
              <w:t>Occasion:</w:t>
            </w:r>
            <w:r>
              <w:t xml:space="preserve">  Dedication of Cemetery near site of </w:t>
            </w:r>
          </w:p>
          <w:p w:rsidR="002F575B" w:rsidRDefault="002F575B" w:rsidP="002C3A21">
            <w:pPr>
              <w:pStyle w:val="NoSpacing"/>
            </w:pPr>
            <w:r>
              <w:t xml:space="preserve">                    Battle of Gettysburg (November 19, </w:t>
            </w:r>
          </w:p>
          <w:p w:rsidR="002F575B" w:rsidRDefault="002F575B" w:rsidP="002C3A21">
            <w:pPr>
              <w:pStyle w:val="NoSpacing"/>
            </w:pPr>
            <w:r>
              <w:t xml:space="preserve">                    1863)</w:t>
            </w:r>
          </w:p>
          <w:p w:rsidR="002F575B" w:rsidRDefault="002F575B" w:rsidP="002C3A21">
            <w:pPr>
              <w:pStyle w:val="NoSpacing"/>
            </w:pPr>
            <w:r w:rsidRPr="005F2AF5">
              <w:rPr>
                <w:b/>
              </w:rPr>
              <w:t>Audience:</w:t>
            </w:r>
            <w:r>
              <w:t xml:space="preserve"> 1)ostensibly, people attending </w:t>
            </w:r>
          </w:p>
          <w:p w:rsidR="002F575B" w:rsidRDefault="002F575B" w:rsidP="002C3A21">
            <w:pPr>
              <w:pStyle w:val="NoSpacing"/>
            </w:pPr>
            <w:r>
              <w:t xml:space="preserve">                       ceremony</w:t>
            </w:r>
          </w:p>
          <w:p w:rsidR="002F575B" w:rsidRDefault="002F575B" w:rsidP="002C3A21">
            <w:pPr>
              <w:pStyle w:val="NoSpacing"/>
            </w:pPr>
            <w:r>
              <w:t xml:space="preserve">                    2)supporters of the Union</w:t>
            </w:r>
          </w:p>
          <w:p w:rsidR="002F575B" w:rsidRDefault="002F575B" w:rsidP="002C3A21">
            <w:pPr>
              <w:pStyle w:val="NoSpacing"/>
            </w:pPr>
            <w:r>
              <w:t xml:space="preserve">                    3)those wavering in support of Union</w:t>
            </w:r>
          </w:p>
          <w:p w:rsidR="002F575B" w:rsidRDefault="002F575B" w:rsidP="002C3A21">
            <w:pPr>
              <w:pStyle w:val="NoSpacing"/>
            </w:pPr>
            <w:r>
              <w:t xml:space="preserve">                    4)critics of the war</w:t>
            </w:r>
          </w:p>
          <w:p w:rsidR="002F575B" w:rsidRDefault="002F575B" w:rsidP="002C3A21">
            <w:pPr>
              <w:pStyle w:val="NoSpacing"/>
            </w:pPr>
            <w:r>
              <w:t xml:space="preserve">                    5)Confederates</w:t>
            </w:r>
          </w:p>
          <w:p w:rsidR="002F575B" w:rsidRDefault="002F575B" w:rsidP="002C3A21">
            <w:pPr>
              <w:pStyle w:val="NoSpacing"/>
            </w:pPr>
            <w:r w:rsidRPr="005F2AF5">
              <w:rPr>
                <w:b/>
              </w:rPr>
              <w:t>Purpose:</w:t>
            </w:r>
            <w:r>
              <w:t xml:space="preserve">    1)frame the Civil War as a conflict </w:t>
            </w:r>
          </w:p>
          <w:p w:rsidR="002F575B" w:rsidRDefault="002F575B" w:rsidP="002C3A21">
            <w:pPr>
              <w:pStyle w:val="NoSpacing"/>
            </w:pPr>
            <w:r>
              <w:t xml:space="preserve">                       regarding the essential ideals of the </w:t>
            </w:r>
          </w:p>
          <w:p w:rsidR="002F575B" w:rsidRDefault="002F575B" w:rsidP="002C3A21">
            <w:pPr>
              <w:pStyle w:val="NoSpacing"/>
            </w:pPr>
            <w:r>
              <w:t xml:space="preserve">                       US</w:t>
            </w:r>
          </w:p>
          <w:p w:rsidR="002F575B" w:rsidRDefault="002F575B" w:rsidP="002C3A21">
            <w:pPr>
              <w:pStyle w:val="NoSpacing"/>
            </w:pPr>
            <w:r>
              <w:t xml:space="preserve">                    2)state the importance of winning the </w:t>
            </w:r>
          </w:p>
          <w:p w:rsidR="002F575B" w:rsidRDefault="002F575B" w:rsidP="002C3A21">
            <w:pPr>
              <w:pStyle w:val="NoSpacing"/>
            </w:pPr>
            <w:r>
              <w:t xml:space="preserve">                       War</w:t>
            </w:r>
          </w:p>
          <w:p w:rsidR="002F575B" w:rsidRDefault="002F575B" w:rsidP="002C3A21">
            <w:pPr>
              <w:pStyle w:val="NoSpacing"/>
            </w:pPr>
            <w:r>
              <w:t xml:space="preserve">                    3)support believers in the justness of </w:t>
            </w:r>
          </w:p>
          <w:p w:rsidR="002F575B" w:rsidRDefault="002F575B" w:rsidP="002C3A21">
            <w:pPr>
              <w:pStyle w:val="NoSpacing"/>
            </w:pPr>
            <w:r>
              <w:t xml:space="preserve">                       the Union cause and bolster those </w:t>
            </w:r>
          </w:p>
          <w:p w:rsidR="002F575B" w:rsidRDefault="002F575B" w:rsidP="002C3A21">
            <w:pPr>
              <w:pStyle w:val="NoSpacing"/>
            </w:pPr>
            <w:r>
              <w:t xml:space="preserve">                       wavering in support</w:t>
            </w:r>
          </w:p>
          <w:p w:rsidR="002F575B" w:rsidRDefault="002F575B" w:rsidP="002C3A21">
            <w:pPr>
              <w:pStyle w:val="NoSpacing"/>
            </w:pPr>
            <w:r>
              <w:t xml:space="preserve">                    4)address critics of the War</w:t>
            </w:r>
          </w:p>
          <w:p w:rsidR="002F575B" w:rsidRDefault="002F575B" w:rsidP="002C3A21">
            <w:pPr>
              <w:pStyle w:val="NoSpacing"/>
            </w:pPr>
            <w:r>
              <w:t xml:space="preserve">                    5)show Confederates the resolve of </w:t>
            </w:r>
          </w:p>
          <w:p w:rsidR="002F575B" w:rsidRDefault="002F575B" w:rsidP="002C3A21">
            <w:pPr>
              <w:pStyle w:val="NoSpacing"/>
            </w:pPr>
            <w:r>
              <w:t xml:space="preserve">                       the Union</w:t>
            </w:r>
          </w:p>
          <w:p w:rsidR="002F575B" w:rsidRDefault="002F575B" w:rsidP="002C3A21">
            <w:pPr>
              <w:pStyle w:val="NoSpacing"/>
            </w:pPr>
            <w:r w:rsidRPr="005F2AF5">
              <w:rPr>
                <w:b/>
              </w:rPr>
              <w:t>Subject:</w:t>
            </w:r>
            <w:r>
              <w:t xml:space="preserve">     1) Civil War</w:t>
            </w:r>
          </w:p>
          <w:p w:rsidR="002F575B" w:rsidRDefault="002F575B" w:rsidP="002C3A21">
            <w:pPr>
              <w:pStyle w:val="NoSpacing"/>
            </w:pPr>
            <w:r>
              <w:t xml:space="preserve">                    2) America in general</w:t>
            </w:r>
          </w:p>
          <w:p w:rsidR="002F575B" w:rsidRDefault="002F575B" w:rsidP="002C3A21">
            <w:pPr>
              <w:pStyle w:val="NoSpacing"/>
            </w:pPr>
            <w:r w:rsidRPr="005F2AF5">
              <w:rPr>
                <w:b/>
              </w:rPr>
              <w:t>Tone:</w:t>
            </w:r>
            <w:r>
              <w:t xml:space="preserve">         lofty, elevated, reverential, forceful, </w:t>
            </w:r>
          </w:p>
          <w:p w:rsidR="002F575B" w:rsidRDefault="002F575B" w:rsidP="002C3A21">
            <w:pPr>
              <w:pStyle w:val="NoSpacing"/>
            </w:pPr>
            <w:r>
              <w:t xml:space="preserve">                   definitive, powerful</w:t>
            </w:r>
          </w:p>
          <w:p w:rsidR="002F575B" w:rsidRDefault="002F575B" w:rsidP="002C3A21">
            <w:pPr>
              <w:pStyle w:val="NoSpacing"/>
            </w:pPr>
          </w:p>
        </w:tc>
      </w:tr>
    </w:tbl>
    <w:p w:rsidR="002F575B" w:rsidRDefault="002F575B" w:rsidP="002F575B">
      <w:pPr>
        <w:pStyle w:val="NoSpacing"/>
      </w:pPr>
    </w:p>
    <w:p w:rsidR="002F575B" w:rsidRDefault="002F575B" w:rsidP="002F575B">
      <w:pPr>
        <w:pStyle w:val="NoSpacing"/>
      </w:pPr>
    </w:p>
    <w:p w:rsidR="002F575B" w:rsidRPr="002F575B" w:rsidRDefault="002F575B" w:rsidP="002F575B">
      <w:pPr>
        <w:pStyle w:val="NoSpacing"/>
        <w:rPr>
          <w:i/>
        </w:rPr>
      </w:pPr>
      <w:r w:rsidRPr="002F575B">
        <w:rPr>
          <w:i/>
        </w:rPr>
        <w:t>Reveals the use of outside research (Occasion)</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Pr="005F2AF5" w:rsidRDefault="002F575B" w:rsidP="002F575B">
      <w:pPr>
        <w:pStyle w:val="NoSpacing"/>
        <w:rPr>
          <w:b/>
        </w:rPr>
      </w:pPr>
      <w:r w:rsidRPr="005F2AF5">
        <w:rPr>
          <w:b/>
        </w:rPr>
        <w:t xml:space="preserve">“To Be or Not to Be” Soliloquy from </w:t>
      </w:r>
      <w:r w:rsidRPr="005F2AF5">
        <w:rPr>
          <w:b/>
          <w:i/>
        </w:rPr>
        <w:t>Hamlet</w:t>
      </w:r>
      <w:r w:rsidRPr="005F2AF5">
        <w:rPr>
          <w:b/>
        </w:rPr>
        <w:t xml:space="preserve"> 3.1.55-89 (Fiction)</w:t>
      </w:r>
    </w:p>
    <w:p w:rsidR="002F575B" w:rsidRDefault="002F575B" w:rsidP="002F575B">
      <w:pPr>
        <w:pStyle w:val="NoSpacing"/>
      </w:pPr>
    </w:p>
    <w:p w:rsidR="002F575B" w:rsidRDefault="002F575B" w:rsidP="002F575B">
      <w:pPr>
        <w:pStyle w:val="NoSpacing"/>
      </w:pPr>
      <w:r w:rsidRPr="002F575B">
        <w:rPr>
          <w:b/>
        </w:rPr>
        <w:t>Speaker:</w:t>
      </w:r>
      <w:r>
        <w:tab/>
      </w:r>
      <w:proofErr w:type="gramStart"/>
      <w:r>
        <w:t>Hamlet,</w:t>
      </w:r>
      <w:proofErr w:type="gramEnd"/>
      <w:r>
        <w:t xml:space="preserve"> disturbed Prince of Denmark – paranoid, depressed, seeking revenge</w:t>
      </w:r>
    </w:p>
    <w:p w:rsidR="002F575B" w:rsidRDefault="002F575B" w:rsidP="002F575B">
      <w:pPr>
        <w:pStyle w:val="NoSpacing"/>
      </w:pPr>
      <w:r w:rsidRPr="002F575B">
        <w:rPr>
          <w:b/>
        </w:rPr>
        <w:t>Occasion:</w:t>
      </w:r>
      <w:r>
        <w:tab/>
        <w:t xml:space="preserve">1) the appearance of his “friends” Rosencrantz and Guildenstern, who Hamlet no longer </w:t>
      </w:r>
    </w:p>
    <w:p w:rsidR="002F575B" w:rsidRDefault="002F575B" w:rsidP="002F575B">
      <w:pPr>
        <w:pStyle w:val="NoSpacing"/>
        <w:ind w:left="720" w:firstLine="720"/>
      </w:pPr>
      <w:r>
        <w:t xml:space="preserve">    </w:t>
      </w:r>
      <w:proofErr w:type="gramStart"/>
      <w:r>
        <w:t>trusts</w:t>
      </w:r>
      <w:proofErr w:type="gramEnd"/>
    </w:p>
    <w:p w:rsidR="002F575B" w:rsidRDefault="002F575B" w:rsidP="002F575B">
      <w:pPr>
        <w:pStyle w:val="NoSpacing"/>
        <w:ind w:left="720" w:firstLine="720"/>
      </w:pPr>
      <w:r>
        <w:t>2) Hamlet’s angst at watching the First Player</w:t>
      </w:r>
    </w:p>
    <w:p w:rsidR="002F575B" w:rsidRDefault="002F575B" w:rsidP="002F575B">
      <w:pPr>
        <w:pStyle w:val="NoSpacing"/>
        <w:ind w:left="720" w:firstLine="720"/>
      </w:pPr>
      <w:r>
        <w:t xml:space="preserve">3) </w:t>
      </w:r>
      <w:proofErr w:type="gramStart"/>
      <w:r>
        <w:t>the</w:t>
      </w:r>
      <w:proofErr w:type="gramEnd"/>
      <w:r>
        <w:t xml:space="preserve"> formations of Hamlet’s plans</w:t>
      </w:r>
    </w:p>
    <w:p w:rsidR="002F575B" w:rsidRDefault="002F575B" w:rsidP="002F575B">
      <w:pPr>
        <w:pStyle w:val="NoSpacing"/>
      </w:pPr>
      <w:r w:rsidRPr="002F575B">
        <w:rPr>
          <w:b/>
        </w:rPr>
        <w:t>Audience:</w:t>
      </w:r>
      <w:r>
        <w:tab/>
        <w:t xml:space="preserve">1) </w:t>
      </w:r>
      <w:r w:rsidRPr="00C27945">
        <w:rPr>
          <w:i/>
        </w:rPr>
        <w:t>if Hamlet feels he is alone</w:t>
      </w:r>
      <w:r>
        <w:t>: himself</w:t>
      </w:r>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being watched</w:t>
      </w:r>
      <w:r>
        <w:t>: Claudius, Polonius, and possibly Ophelia</w:t>
      </w:r>
    </w:p>
    <w:p w:rsidR="002F575B" w:rsidRDefault="002F575B" w:rsidP="002F575B">
      <w:pPr>
        <w:pStyle w:val="NoSpacing"/>
      </w:pPr>
      <w:r w:rsidRPr="002F575B">
        <w:rPr>
          <w:b/>
        </w:rPr>
        <w:t>Purpose:</w:t>
      </w:r>
      <w:r>
        <w:tab/>
        <w:t xml:space="preserve">1) </w:t>
      </w:r>
      <w:r w:rsidRPr="00C27945">
        <w:rPr>
          <w:i/>
        </w:rPr>
        <w:t>if Hamlet feels he is alone:</w:t>
      </w:r>
      <w:r>
        <w:t xml:space="preserve"> to work out his thoughts and further castigate </w:t>
      </w:r>
      <w:proofErr w:type="gramStart"/>
      <w:r>
        <w:t>himself</w:t>
      </w:r>
      <w:proofErr w:type="gramEnd"/>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alone:</w:t>
      </w:r>
      <w:r>
        <w:t xml:space="preserve"> to ponder suicide and/or murder</w:t>
      </w:r>
    </w:p>
    <w:p w:rsidR="002F575B" w:rsidRDefault="002F575B" w:rsidP="002F575B">
      <w:pPr>
        <w:pStyle w:val="NoSpacing"/>
      </w:pPr>
      <w:r>
        <w:tab/>
      </w:r>
      <w:r>
        <w:tab/>
        <w:t xml:space="preserve">3) </w:t>
      </w:r>
      <w:proofErr w:type="gramStart"/>
      <w:r w:rsidRPr="00C27945">
        <w:rPr>
          <w:i/>
        </w:rPr>
        <w:t>if</w:t>
      </w:r>
      <w:proofErr w:type="gramEnd"/>
      <w:r w:rsidRPr="00C27945">
        <w:rPr>
          <w:i/>
        </w:rPr>
        <w:t xml:space="preserve"> Hamlet feels he is being watched:</w:t>
      </w:r>
      <w:r>
        <w:t xml:space="preserve"> further his “antic disposition” </w:t>
      </w:r>
    </w:p>
    <w:p w:rsidR="002F575B" w:rsidRDefault="002F575B" w:rsidP="002F575B">
      <w:pPr>
        <w:pStyle w:val="NoSpacing"/>
      </w:pPr>
      <w:r w:rsidRPr="002F575B">
        <w:rPr>
          <w:b/>
        </w:rPr>
        <w:t>Subject:</w:t>
      </w:r>
      <w:r w:rsidRPr="002F575B">
        <w:rPr>
          <w:b/>
        </w:rPr>
        <w:tab/>
      </w:r>
      <w:r>
        <w:t>1) life, the universe, and everything</w:t>
      </w:r>
    </w:p>
    <w:p w:rsidR="002F575B" w:rsidRDefault="002F575B" w:rsidP="002F575B">
      <w:pPr>
        <w:pStyle w:val="NoSpacing"/>
      </w:pPr>
      <w:r>
        <w:tab/>
      </w:r>
      <w:r>
        <w:tab/>
        <w:t>2) God, religion, justice, and punishment</w:t>
      </w:r>
    </w:p>
    <w:p w:rsidR="002F575B" w:rsidRDefault="002F575B" w:rsidP="002F575B">
      <w:pPr>
        <w:pStyle w:val="NoSpacing"/>
      </w:pPr>
      <w:r>
        <w:tab/>
      </w:r>
      <w:r>
        <w:tab/>
        <w:t xml:space="preserve">3) </w:t>
      </w:r>
      <w:proofErr w:type="gramStart"/>
      <w:r>
        <w:t>suicide</w:t>
      </w:r>
      <w:proofErr w:type="gramEnd"/>
      <w:r>
        <w:t xml:space="preserve"> and murder</w:t>
      </w:r>
    </w:p>
    <w:p w:rsidR="002F575B" w:rsidRDefault="002F575B" w:rsidP="002F575B">
      <w:pPr>
        <w:pStyle w:val="NoSpacing"/>
      </w:pPr>
      <w:r>
        <w:tab/>
      </w:r>
      <w:r>
        <w:tab/>
        <w:t xml:space="preserve">4) </w:t>
      </w:r>
      <w:proofErr w:type="gramStart"/>
      <w:r>
        <w:t>the</w:t>
      </w:r>
      <w:proofErr w:type="gramEnd"/>
      <w:r>
        <w:t xml:space="preserve"> consequences of death and/or murder</w:t>
      </w:r>
    </w:p>
    <w:p w:rsidR="002F575B" w:rsidRDefault="002F575B" w:rsidP="002F575B">
      <w:pPr>
        <w:pStyle w:val="NoSpacing"/>
      </w:pPr>
      <w:r w:rsidRPr="002F575B">
        <w:rPr>
          <w:b/>
        </w:rPr>
        <w:t>Tone:</w:t>
      </w:r>
      <w:r>
        <w:tab/>
      </w:r>
      <w:r>
        <w:tab/>
        <w:t xml:space="preserve">high, elevated, depressed, moody, troubled, confused, </w:t>
      </w:r>
      <w:proofErr w:type="gramStart"/>
      <w:r>
        <w:t>“</w:t>
      </w:r>
      <w:proofErr w:type="gramEnd"/>
      <w:r>
        <w:t>antic”</w:t>
      </w:r>
    </w:p>
    <w:p w:rsidR="002F575B" w:rsidRDefault="002F575B" w:rsidP="0022278C">
      <w:pPr>
        <w:pStyle w:val="NoSpacing"/>
      </w:pPr>
    </w:p>
    <w:p w:rsidR="002F575B" w:rsidRDefault="002F575B" w:rsidP="0022278C">
      <w:pPr>
        <w:pStyle w:val="NoSpacing"/>
      </w:pPr>
    </w:p>
    <w:p w:rsidR="002F575B" w:rsidRDefault="002F575B" w:rsidP="0022278C">
      <w:pPr>
        <w:pStyle w:val="NoSpacing"/>
        <w:rPr>
          <w:i/>
        </w:rPr>
      </w:pPr>
      <w:r w:rsidRPr="002F575B">
        <w:rPr>
          <w:i/>
        </w:rPr>
        <w:t xml:space="preserve">Notice that Shakespeare is </w:t>
      </w:r>
      <w:r w:rsidRPr="002F575B">
        <w:rPr>
          <w:i/>
          <w:u w:val="single"/>
        </w:rPr>
        <w:t>not</w:t>
      </w:r>
      <w:r w:rsidRPr="002F575B">
        <w:rPr>
          <w:i/>
        </w:rPr>
        <w:t xml:space="preserve"> the Speaker</w:t>
      </w:r>
    </w:p>
    <w:p w:rsidR="002F575B" w:rsidRPr="002F575B" w:rsidRDefault="002F575B" w:rsidP="0022278C">
      <w:pPr>
        <w:pStyle w:val="NoSpacing"/>
        <w:rPr>
          <w:i/>
        </w:rPr>
      </w:pPr>
      <w:r>
        <w:rPr>
          <w:i/>
        </w:rPr>
        <w:t xml:space="preserve">Note the complexity that is revealed through the use of </w:t>
      </w:r>
      <w:proofErr w:type="spellStart"/>
      <w:r>
        <w:rPr>
          <w:i/>
        </w:rPr>
        <w:t>SOAPSTone</w:t>
      </w:r>
      <w:proofErr w:type="spellEnd"/>
    </w:p>
    <w:sectPr w:rsidR="002F575B" w:rsidRPr="002F575B" w:rsidSect="002568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5B" w:rsidRDefault="002F575B" w:rsidP="002F575B">
      <w:r>
        <w:separator/>
      </w:r>
    </w:p>
  </w:endnote>
  <w:endnote w:type="continuationSeparator" w:id="0">
    <w:p w:rsidR="002F575B" w:rsidRDefault="002F575B" w:rsidP="002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97257"/>
      <w:docPartObj>
        <w:docPartGallery w:val="Page Numbers (Bottom of Page)"/>
        <w:docPartUnique/>
      </w:docPartObj>
    </w:sdtPr>
    <w:sdtEndPr/>
    <w:sdtContent>
      <w:p w:rsidR="002F575B" w:rsidRDefault="00E807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575B" w:rsidRDefault="002F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5B" w:rsidRDefault="002F575B" w:rsidP="002F575B">
      <w:r>
        <w:separator/>
      </w:r>
    </w:p>
  </w:footnote>
  <w:footnote w:type="continuationSeparator" w:id="0">
    <w:p w:rsidR="002F575B" w:rsidRDefault="002F575B" w:rsidP="002F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8C"/>
    <w:rsid w:val="000D65F3"/>
    <w:rsid w:val="001411B3"/>
    <w:rsid w:val="0022278C"/>
    <w:rsid w:val="002568B4"/>
    <w:rsid w:val="002F575B"/>
    <w:rsid w:val="0061543E"/>
    <w:rsid w:val="00BB1FB9"/>
    <w:rsid w:val="00CE60F8"/>
    <w:rsid w:val="00D01A72"/>
    <w:rsid w:val="00DE7995"/>
    <w:rsid w:val="00E80748"/>
    <w:rsid w:val="00E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Traeger</cp:lastModifiedBy>
  <cp:revision>3</cp:revision>
  <dcterms:created xsi:type="dcterms:W3CDTF">2015-03-16T18:59:00Z</dcterms:created>
  <dcterms:modified xsi:type="dcterms:W3CDTF">2015-03-16T19:00:00Z</dcterms:modified>
</cp:coreProperties>
</file>