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9" w:rsidRDefault="005655BA" w:rsidP="005655BA">
      <w:pPr>
        <w:pStyle w:val="NoSpacing"/>
        <w:jc w:val="center"/>
      </w:pPr>
      <w:r>
        <w:t>MT 3 Vocabulary</w:t>
      </w:r>
    </w:p>
    <w:p w:rsidR="005655BA" w:rsidRDefault="005655BA" w:rsidP="005655BA">
      <w:pPr>
        <w:pStyle w:val="NoSpacing"/>
      </w:pPr>
    </w:p>
    <w:p w:rsidR="005655BA" w:rsidRDefault="005655BA" w:rsidP="005655BA">
      <w:pPr>
        <w:pStyle w:val="NoSpacing"/>
      </w:pPr>
      <w:proofErr w:type="spellStart"/>
      <w:r>
        <w:t>Ch</w:t>
      </w:r>
      <w:proofErr w:type="spellEnd"/>
      <w:r>
        <w:t xml:space="preserve"> 7 sec 3 (3.1)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Anti-trust legislation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Sherman Anti-Trust Act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Clayton Anti-trust Act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Federal Trade Commission (FTC)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Robinson-</w:t>
      </w:r>
      <w:proofErr w:type="spellStart"/>
      <w:r>
        <w:t>Patman</w:t>
      </w:r>
      <w:proofErr w:type="spellEnd"/>
      <w:r>
        <w:t xml:space="preserve"> Act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Price discrimination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Cease and desist order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Public Disclosure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Occupational safety and health administration (OSHA)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Securities and exchange commission (SEC)</w:t>
      </w:r>
    </w:p>
    <w:p w:rsidR="005655BA" w:rsidRDefault="005655BA" w:rsidP="005655BA">
      <w:pPr>
        <w:pStyle w:val="NoSpacing"/>
        <w:numPr>
          <w:ilvl w:val="0"/>
          <w:numId w:val="1"/>
        </w:numPr>
      </w:pPr>
      <w:r>
        <w:t>Externalities</w:t>
      </w:r>
    </w:p>
    <w:p w:rsidR="005655BA" w:rsidRDefault="005655BA" w:rsidP="005655BA">
      <w:pPr>
        <w:pStyle w:val="NoSpacing"/>
      </w:pPr>
    </w:p>
    <w:p w:rsidR="005655BA" w:rsidRDefault="005655BA" w:rsidP="005655BA">
      <w:pPr>
        <w:pStyle w:val="NoSpacing"/>
      </w:pPr>
      <w:r>
        <w:t xml:space="preserve">CH 9 sec 1 &amp; 2 </w:t>
      </w:r>
      <w:r>
        <w:t>(3.2)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Proportional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Progressive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Regressive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Ability to pay principle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Benefits received principle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FICA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Estate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Excise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Sales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Individual income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Sin tax</w:t>
      </w:r>
    </w:p>
    <w:p w:rsidR="005655BA" w:rsidRDefault="005655BA" w:rsidP="005655BA">
      <w:pPr>
        <w:pStyle w:val="NoSpacing"/>
        <w:numPr>
          <w:ilvl w:val="0"/>
          <w:numId w:val="3"/>
        </w:numPr>
      </w:pPr>
      <w:r>
        <w:t>VAT</w:t>
      </w:r>
    </w:p>
    <w:p w:rsidR="005655BA" w:rsidRDefault="005655BA" w:rsidP="005655BA">
      <w:pPr>
        <w:pStyle w:val="NoSpacing"/>
        <w:ind w:left="720"/>
      </w:pPr>
    </w:p>
    <w:p w:rsidR="005655BA" w:rsidRDefault="005655BA" w:rsidP="005655BA">
      <w:pPr>
        <w:pStyle w:val="NoSpacing"/>
      </w:pPr>
      <w:proofErr w:type="spellStart"/>
      <w:r>
        <w:t>Ch</w:t>
      </w:r>
      <w:proofErr w:type="spellEnd"/>
      <w:r>
        <w:t xml:space="preserve"> 10 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Public sector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Private sector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Transfer payment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Deficit spending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Fiscal year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Federal debt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Entitlement funds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Mandatory spending</w:t>
      </w:r>
    </w:p>
    <w:p w:rsidR="005655BA" w:rsidRDefault="005655BA" w:rsidP="005655BA">
      <w:pPr>
        <w:pStyle w:val="NoSpacing"/>
        <w:numPr>
          <w:ilvl w:val="0"/>
          <w:numId w:val="2"/>
        </w:numPr>
      </w:pPr>
      <w:r>
        <w:t>Discretionary spending</w:t>
      </w:r>
    </w:p>
    <w:p w:rsidR="005655BA" w:rsidRDefault="005655BA" w:rsidP="005655BA">
      <w:pPr>
        <w:pStyle w:val="NoSpacing"/>
      </w:pPr>
    </w:p>
    <w:p w:rsidR="005655BA" w:rsidRDefault="00FE7E5A" w:rsidP="005655BA">
      <w:pPr>
        <w:pStyle w:val="NoSpacing"/>
      </w:pPr>
      <w:proofErr w:type="spellStart"/>
      <w:r>
        <w:t>Ch</w:t>
      </w:r>
      <w:proofErr w:type="spellEnd"/>
      <w:r>
        <w:t xml:space="preserve"> 16 sec 3 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Supply side economics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Demand side economics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Expansionary policies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Contractionary policies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Aggregate demand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Aggregate supply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John Maynard Keynes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Fiscal Policy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Inflation</w:t>
      </w:r>
    </w:p>
    <w:p w:rsidR="00FE7E5A" w:rsidRDefault="00FE7E5A" w:rsidP="00FE7E5A">
      <w:pPr>
        <w:pStyle w:val="NoSpacing"/>
        <w:numPr>
          <w:ilvl w:val="0"/>
          <w:numId w:val="4"/>
        </w:numPr>
      </w:pPr>
      <w:r>
        <w:t>Monetarism</w:t>
      </w:r>
    </w:p>
    <w:p w:rsidR="000407F5" w:rsidRDefault="000407F5" w:rsidP="000407F5">
      <w:pPr>
        <w:pStyle w:val="NoSpacing"/>
      </w:pPr>
    </w:p>
    <w:p w:rsidR="000407F5" w:rsidRDefault="000407F5" w:rsidP="000407F5">
      <w:pPr>
        <w:pStyle w:val="NoSpacing"/>
      </w:pPr>
    </w:p>
    <w:p w:rsidR="000407F5" w:rsidRDefault="000407F5" w:rsidP="000407F5">
      <w:pPr>
        <w:pStyle w:val="NoSpacing"/>
      </w:pPr>
      <w:proofErr w:type="spellStart"/>
      <w:r>
        <w:lastRenderedPageBreak/>
        <w:t>Ch</w:t>
      </w:r>
      <w:proofErr w:type="spellEnd"/>
      <w:r>
        <w:t xml:space="preserve"> 15 (3.3)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Monetary policy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Board of governors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Federal reserve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Easy money policy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Tight money policy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Excess reserves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Moral suasion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Open market operations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Discount rate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Reserve requirement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Fractional reserve system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Monetize the debt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Prime rate</w:t>
      </w:r>
    </w:p>
    <w:p w:rsidR="000407F5" w:rsidRDefault="000407F5" w:rsidP="000407F5">
      <w:pPr>
        <w:pStyle w:val="NoSpacing"/>
        <w:numPr>
          <w:ilvl w:val="0"/>
          <w:numId w:val="5"/>
        </w:numPr>
      </w:pPr>
      <w:r>
        <w:t>Real rate of interest</w:t>
      </w:r>
      <w:bookmarkStart w:id="0" w:name="_GoBack"/>
      <w:bookmarkEnd w:id="0"/>
    </w:p>
    <w:sectPr w:rsidR="000407F5" w:rsidSect="005655B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2F"/>
    <w:multiLevelType w:val="hybridMultilevel"/>
    <w:tmpl w:val="590E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6BD4"/>
    <w:multiLevelType w:val="hybridMultilevel"/>
    <w:tmpl w:val="3234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71D"/>
    <w:multiLevelType w:val="hybridMultilevel"/>
    <w:tmpl w:val="8A66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29C"/>
    <w:multiLevelType w:val="hybridMultilevel"/>
    <w:tmpl w:val="F8F4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A0414"/>
    <w:multiLevelType w:val="hybridMultilevel"/>
    <w:tmpl w:val="FA2A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BA"/>
    <w:rsid w:val="000407F5"/>
    <w:rsid w:val="005655BA"/>
    <w:rsid w:val="00A22839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357E-7CAB-4541-B9D6-1FD64B67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2016-03-31T14:42:00Z</dcterms:created>
  <dcterms:modified xsi:type="dcterms:W3CDTF">2016-03-31T15:02:00Z</dcterms:modified>
</cp:coreProperties>
</file>